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C7" w:rsidRPr="003B6C81" w:rsidRDefault="00B132C7" w:rsidP="00B132C7">
      <w:pPr>
        <w:keepNext/>
        <w:widowControl/>
        <w:suppressAutoHyphens/>
        <w:spacing w:before="240" w:after="120"/>
        <w:jc w:val="center"/>
        <w:rPr>
          <w:rFonts w:ascii="Arial" w:eastAsia="SimSun" w:hAnsi="Arial" w:cs="Arial"/>
          <w:sz w:val="20"/>
          <w:szCs w:val="20"/>
          <w:lang w:val="lv-LV" w:eastAsia="ar-SA"/>
        </w:rPr>
      </w:pPr>
      <w:r w:rsidRPr="003B6C81">
        <w:rPr>
          <w:rFonts w:ascii="Arial" w:eastAsia="SimSun" w:hAnsi="Arial" w:cs="Arial"/>
          <w:sz w:val="20"/>
          <w:szCs w:val="20"/>
          <w:lang w:val="lv-LV" w:eastAsia="ar-SA"/>
        </w:rPr>
        <w:t>PREČU PIEGĀDES LĪGUMS Nr.</w:t>
      </w:r>
      <w:r w:rsidR="006B3D8D">
        <w:rPr>
          <w:rFonts w:ascii="Arial" w:eastAsia="SimSun" w:hAnsi="Arial" w:cs="Arial"/>
          <w:sz w:val="20"/>
          <w:szCs w:val="20"/>
          <w:lang w:val="lv-LV" w:eastAsia="ar-SA"/>
        </w:rPr>
        <w:t xml:space="preserve"> PD/BMST2014/1</w:t>
      </w:r>
    </w:p>
    <w:p w:rsidR="00B132C7" w:rsidRPr="003B6C81" w:rsidRDefault="00B132C7" w:rsidP="00B132C7">
      <w:pPr>
        <w:widowControl/>
        <w:suppressAutoHyphens/>
        <w:ind w:firstLine="360"/>
        <w:jc w:val="center"/>
        <w:rPr>
          <w:rFonts w:ascii="Arial" w:eastAsia="Times New Roman" w:hAnsi="Arial" w:cs="Arial"/>
          <w:sz w:val="20"/>
          <w:szCs w:val="20"/>
          <w:lang w:val="lv-LV" w:eastAsia="ar-SA"/>
        </w:rPr>
      </w:pPr>
    </w:p>
    <w:tbl>
      <w:tblPr>
        <w:tblW w:w="0" w:type="auto"/>
        <w:tblLayout w:type="fixed"/>
        <w:tblLook w:val="0000" w:firstRow="0" w:lastRow="0" w:firstColumn="0" w:lastColumn="0" w:noHBand="0" w:noVBand="0"/>
      </w:tblPr>
      <w:tblGrid>
        <w:gridCol w:w="4428"/>
        <w:gridCol w:w="4428"/>
      </w:tblGrid>
      <w:tr w:rsidR="00B132C7" w:rsidRPr="003B6C81" w:rsidTr="00B62166">
        <w:tc>
          <w:tcPr>
            <w:tcW w:w="4428" w:type="dxa"/>
            <w:shd w:val="clear" w:color="auto" w:fill="auto"/>
          </w:tcPr>
          <w:p w:rsidR="00B132C7" w:rsidRPr="003B6C81" w:rsidRDefault="00B132C7" w:rsidP="00B62166">
            <w:pPr>
              <w:widowControl/>
              <w:suppressAutoHyphens/>
              <w:snapToGrid w:val="0"/>
              <w:jc w:val="both"/>
              <w:rPr>
                <w:rFonts w:ascii="Arial" w:eastAsia="Times New Roman" w:hAnsi="Arial" w:cs="Arial"/>
                <w:sz w:val="20"/>
                <w:szCs w:val="20"/>
                <w:lang w:val="lv-LV" w:eastAsia="ar-SA"/>
              </w:rPr>
            </w:pPr>
            <w:r>
              <w:rPr>
                <w:rFonts w:ascii="Arial" w:eastAsia="Times New Roman" w:hAnsi="Arial" w:cs="Arial"/>
                <w:sz w:val="20"/>
                <w:szCs w:val="20"/>
                <w:lang w:val="lv-LV" w:eastAsia="ar-SA"/>
              </w:rPr>
              <w:t>Rīgā</w:t>
            </w:r>
          </w:p>
        </w:tc>
        <w:tc>
          <w:tcPr>
            <w:tcW w:w="4428" w:type="dxa"/>
            <w:shd w:val="clear" w:color="auto" w:fill="auto"/>
          </w:tcPr>
          <w:p w:rsidR="00B132C7" w:rsidRPr="003B6C81" w:rsidRDefault="00B132C7" w:rsidP="00B132C7">
            <w:pPr>
              <w:widowControl/>
              <w:suppressAutoHyphens/>
              <w:snapToGrid w:val="0"/>
              <w:jc w:val="right"/>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2014.gada </w:t>
            </w:r>
            <w:r>
              <w:rPr>
                <w:rFonts w:ascii="Arial" w:eastAsia="Times New Roman" w:hAnsi="Arial" w:cs="Arial"/>
                <w:sz w:val="20"/>
                <w:szCs w:val="20"/>
                <w:lang w:val="lv-LV" w:eastAsia="ar-SA"/>
              </w:rPr>
              <w:t>4</w:t>
            </w:r>
            <w:r w:rsidRPr="003B6C81">
              <w:rPr>
                <w:rFonts w:ascii="Arial" w:eastAsia="Times New Roman" w:hAnsi="Arial" w:cs="Arial"/>
                <w:sz w:val="20"/>
                <w:szCs w:val="20"/>
                <w:lang w:val="lv-LV" w:eastAsia="ar-SA"/>
              </w:rPr>
              <w:t>.</w:t>
            </w:r>
            <w:r>
              <w:rPr>
                <w:rFonts w:ascii="Arial" w:eastAsia="Times New Roman" w:hAnsi="Arial" w:cs="Arial"/>
                <w:sz w:val="20"/>
                <w:szCs w:val="20"/>
                <w:lang w:val="lv-LV" w:eastAsia="ar-SA"/>
              </w:rPr>
              <w:t>jūlijā</w:t>
            </w:r>
          </w:p>
        </w:tc>
      </w:tr>
    </w:tbl>
    <w:p w:rsidR="00B132C7" w:rsidRPr="003B6C81" w:rsidRDefault="00B132C7" w:rsidP="00B132C7">
      <w:pPr>
        <w:widowControl/>
        <w:suppressAutoHyphens/>
        <w:jc w:val="both"/>
        <w:rPr>
          <w:rFonts w:ascii="Times New Roman" w:eastAsia="Times New Roman" w:hAnsi="Times New Roman"/>
          <w:sz w:val="24"/>
          <w:szCs w:val="24"/>
          <w:lang w:val="lv-LV" w:eastAsia="ar-SA"/>
        </w:rPr>
      </w:pPr>
    </w:p>
    <w:p w:rsidR="00B132C7" w:rsidRPr="003B6C81" w:rsidRDefault="00B132C7" w:rsidP="00B132C7">
      <w:pPr>
        <w:widowControl/>
        <w:suppressAutoHyphens/>
        <w:ind w:firstLine="720"/>
        <w:jc w:val="both"/>
        <w:rPr>
          <w:rFonts w:ascii="Arial" w:eastAsia="Times New Roman" w:hAnsi="Arial" w:cs="Arial"/>
          <w:sz w:val="20"/>
          <w:szCs w:val="20"/>
          <w:lang w:val="lv-LV" w:eastAsia="ar-SA"/>
        </w:rPr>
      </w:pPr>
      <w:r w:rsidRPr="003B6C81">
        <w:rPr>
          <w:rFonts w:ascii="Arial" w:eastAsia="Times New Roman" w:hAnsi="Arial" w:cs="Arial"/>
          <w:b/>
          <w:bCs/>
          <w:sz w:val="20"/>
          <w:szCs w:val="20"/>
          <w:lang w:val="lv-LV" w:eastAsia="ar-SA"/>
        </w:rPr>
        <w:t>SIA „</w:t>
      </w:r>
      <w:proofErr w:type="spellStart"/>
      <w:r w:rsidRPr="003B6C81">
        <w:rPr>
          <w:rFonts w:ascii="Arial" w:eastAsia="Times New Roman" w:hAnsi="Arial" w:cs="Arial"/>
          <w:b/>
          <w:bCs/>
          <w:sz w:val="20"/>
          <w:szCs w:val="20"/>
          <w:lang w:val="lv-LV" w:eastAsia="ar-SA"/>
        </w:rPr>
        <w:t>Parkings</w:t>
      </w:r>
      <w:proofErr w:type="spellEnd"/>
      <w:r w:rsidRPr="003B6C81">
        <w:rPr>
          <w:rFonts w:ascii="Arial" w:eastAsia="Times New Roman" w:hAnsi="Arial" w:cs="Arial"/>
          <w:b/>
          <w:bCs/>
          <w:sz w:val="20"/>
          <w:szCs w:val="20"/>
          <w:lang w:val="lv-LV" w:eastAsia="ar-SA"/>
        </w:rPr>
        <w:t xml:space="preserve"> D”</w:t>
      </w:r>
      <w:r w:rsidRPr="003B6C81">
        <w:rPr>
          <w:rFonts w:ascii="Arial" w:eastAsia="Times New Roman" w:hAnsi="Arial" w:cs="Arial"/>
          <w:sz w:val="20"/>
          <w:szCs w:val="20"/>
          <w:lang w:val="lv-LV" w:eastAsia="ar-SA"/>
        </w:rPr>
        <w:t xml:space="preserve">, vienotais </w:t>
      </w:r>
      <w:proofErr w:type="spellStart"/>
      <w:r w:rsidRPr="003B6C81">
        <w:rPr>
          <w:rFonts w:ascii="Arial" w:eastAsia="Times New Roman" w:hAnsi="Arial" w:cs="Arial"/>
          <w:sz w:val="20"/>
          <w:szCs w:val="20"/>
          <w:lang w:val="lv-LV" w:eastAsia="ar-SA"/>
        </w:rPr>
        <w:t>reģ</w:t>
      </w:r>
      <w:proofErr w:type="spellEnd"/>
      <w:r w:rsidRPr="003B6C81">
        <w:rPr>
          <w:rFonts w:ascii="Arial" w:eastAsia="Times New Roman" w:hAnsi="Arial" w:cs="Arial"/>
          <w:sz w:val="20"/>
          <w:szCs w:val="20"/>
          <w:lang w:val="lv-LV" w:eastAsia="ar-SA"/>
        </w:rPr>
        <w:t xml:space="preserve">. Nr. 41503025952, juridiskā adrese </w:t>
      </w:r>
      <w:proofErr w:type="spellStart"/>
      <w:r w:rsidRPr="003B6C81">
        <w:rPr>
          <w:rFonts w:ascii="Arial" w:eastAsia="Times New Roman" w:hAnsi="Arial" w:cs="Arial"/>
          <w:sz w:val="20"/>
          <w:szCs w:val="20"/>
          <w:lang w:val="lv-LV" w:eastAsia="ar-SA"/>
        </w:rPr>
        <w:t>Kr.Valdemāra</w:t>
      </w:r>
      <w:proofErr w:type="spellEnd"/>
      <w:r w:rsidRPr="003B6C81">
        <w:rPr>
          <w:rFonts w:ascii="Arial" w:eastAsia="Times New Roman" w:hAnsi="Arial" w:cs="Arial"/>
          <w:sz w:val="20"/>
          <w:szCs w:val="20"/>
          <w:lang w:val="lv-LV" w:eastAsia="ar-SA"/>
        </w:rPr>
        <w:t xml:space="preserve"> 13, Daugavpils, kuras vārdā saskaņā ar sabiedrības statūtiem rīkojas tās valdes loceklis Jevgēnijs </w:t>
      </w:r>
      <w:proofErr w:type="spellStart"/>
      <w:r w:rsidRPr="003B6C81">
        <w:rPr>
          <w:rFonts w:ascii="Arial" w:eastAsia="Times New Roman" w:hAnsi="Arial" w:cs="Arial"/>
          <w:sz w:val="20"/>
          <w:szCs w:val="20"/>
          <w:lang w:val="lv-LV" w:eastAsia="ar-SA"/>
        </w:rPr>
        <w:t>Duškevičs</w:t>
      </w:r>
      <w:proofErr w:type="spellEnd"/>
      <w:r w:rsidRPr="003B6C81">
        <w:rPr>
          <w:rFonts w:ascii="Arial" w:eastAsia="Times New Roman" w:hAnsi="Arial" w:cs="Arial"/>
          <w:sz w:val="20"/>
          <w:szCs w:val="20"/>
          <w:lang w:val="lv-LV" w:eastAsia="ar-SA"/>
        </w:rPr>
        <w:t xml:space="preserve">, turpmāk saukts </w:t>
      </w:r>
      <w:r w:rsidRPr="003B6C81">
        <w:rPr>
          <w:rFonts w:ascii="Arial" w:eastAsia="Times New Roman" w:hAnsi="Arial" w:cs="Arial"/>
          <w:b/>
          <w:sz w:val="20"/>
          <w:szCs w:val="20"/>
          <w:lang w:val="lv-LV" w:eastAsia="ar-SA"/>
        </w:rPr>
        <w:t xml:space="preserve">Pircējs, </w:t>
      </w:r>
      <w:r w:rsidRPr="003B6C81">
        <w:rPr>
          <w:rFonts w:ascii="Arial" w:eastAsia="Times New Roman" w:hAnsi="Arial" w:cs="Arial"/>
          <w:sz w:val="20"/>
          <w:szCs w:val="20"/>
          <w:lang w:val="lv-LV" w:eastAsia="ar-SA"/>
        </w:rPr>
        <w:t xml:space="preserve">no vienas puses, un  </w:t>
      </w:r>
      <w:r>
        <w:rPr>
          <w:rFonts w:ascii="Arial" w:eastAsia="Times New Roman" w:hAnsi="Arial" w:cs="Arial"/>
          <w:sz w:val="20"/>
          <w:szCs w:val="20"/>
          <w:lang w:val="lv-LV" w:eastAsia="ar-SA"/>
        </w:rPr>
        <w:t>SIA „BMS Tehnoloģija”</w:t>
      </w:r>
      <w:r w:rsidRPr="003B6C81">
        <w:rPr>
          <w:rFonts w:ascii="Arial" w:eastAsia="Times New Roman" w:hAnsi="Arial" w:cs="Arial"/>
          <w:b/>
          <w:bCs/>
          <w:sz w:val="20"/>
          <w:szCs w:val="20"/>
          <w:lang w:val="lv-LV" w:eastAsia="ar-SA"/>
        </w:rPr>
        <w:t xml:space="preserve">, </w:t>
      </w:r>
      <w:r w:rsidRPr="003B6C81">
        <w:rPr>
          <w:rFonts w:ascii="Arial" w:eastAsia="Times New Roman" w:hAnsi="Arial" w:cs="Arial"/>
          <w:sz w:val="20"/>
          <w:szCs w:val="20"/>
          <w:lang w:val="lv-LV" w:eastAsia="ar-SA"/>
        </w:rPr>
        <w:t xml:space="preserve">vienotais reģistrācijas Nr. </w:t>
      </w:r>
      <w:r w:rsidRPr="00B132C7">
        <w:rPr>
          <w:rFonts w:ascii="Arial" w:eastAsia="Times New Roman" w:hAnsi="Arial" w:cs="Arial"/>
          <w:sz w:val="20"/>
          <w:szCs w:val="20"/>
          <w:lang w:val="lv-LV" w:eastAsia="ar-SA"/>
        </w:rPr>
        <w:t>50003510331</w:t>
      </w:r>
      <w:r w:rsidRPr="003B6C81">
        <w:rPr>
          <w:rFonts w:ascii="Arial" w:eastAsia="Times New Roman" w:hAnsi="Arial" w:cs="Arial"/>
          <w:sz w:val="20"/>
          <w:szCs w:val="20"/>
          <w:lang w:val="lv-LV" w:eastAsia="ar-SA"/>
        </w:rPr>
        <w:t xml:space="preserve">, juridiskā adrese </w:t>
      </w:r>
      <w:r w:rsidRPr="00B132C7">
        <w:rPr>
          <w:rFonts w:ascii="Arial" w:eastAsia="Times New Roman" w:hAnsi="Arial" w:cs="Arial"/>
          <w:sz w:val="20"/>
          <w:szCs w:val="20"/>
          <w:lang w:val="lv-LV" w:eastAsia="ar-SA"/>
        </w:rPr>
        <w:t>Raunas iela 5, Rīga</w:t>
      </w:r>
      <w:r w:rsidRPr="003B6C81">
        <w:rPr>
          <w:rFonts w:ascii="Arial" w:eastAsia="Times New Roman" w:hAnsi="Arial" w:cs="Arial"/>
          <w:sz w:val="20"/>
          <w:szCs w:val="20"/>
          <w:lang w:val="lv-LV" w:eastAsia="ar-SA"/>
        </w:rPr>
        <w:t>,</w:t>
      </w:r>
      <w:r w:rsidRPr="003B6C81">
        <w:rPr>
          <w:rFonts w:ascii="Arial" w:eastAsia="Times New Roman" w:hAnsi="Arial" w:cs="Arial"/>
          <w:b/>
          <w:sz w:val="20"/>
          <w:szCs w:val="20"/>
          <w:lang w:val="lv-LV" w:eastAsia="ar-SA"/>
        </w:rPr>
        <w:t xml:space="preserve"> </w:t>
      </w:r>
      <w:r w:rsidRPr="003B6C81">
        <w:rPr>
          <w:rFonts w:ascii="Arial" w:eastAsia="Times New Roman" w:hAnsi="Arial" w:cs="Arial"/>
          <w:sz w:val="20"/>
          <w:szCs w:val="20"/>
          <w:lang w:val="lv-LV" w:eastAsia="ar-SA"/>
        </w:rPr>
        <w:t xml:space="preserve"> </w:t>
      </w:r>
      <w:r w:rsidRPr="003B6C81">
        <w:rPr>
          <w:rFonts w:ascii="Arial" w:eastAsia="Times New Roman" w:hAnsi="Arial" w:cs="Arial"/>
          <w:bCs/>
          <w:sz w:val="20"/>
          <w:szCs w:val="20"/>
          <w:lang w:val="lv-LV" w:eastAsia="ar-SA"/>
        </w:rPr>
        <w:t xml:space="preserve">kuras vārdā saskaņā ar </w:t>
      </w:r>
      <w:r>
        <w:rPr>
          <w:rFonts w:ascii="Arial" w:eastAsia="Times New Roman" w:hAnsi="Arial" w:cs="Arial"/>
          <w:bCs/>
          <w:sz w:val="20"/>
          <w:szCs w:val="20"/>
          <w:lang w:val="lv-LV" w:eastAsia="ar-SA"/>
        </w:rPr>
        <w:t>sabiedrības statūtiem</w:t>
      </w:r>
      <w:r w:rsidRPr="003B6C81">
        <w:rPr>
          <w:rFonts w:ascii="Arial" w:eastAsia="Times New Roman" w:hAnsi="Arial" w:cs="Arial"/>
          <w:bCs/>
          <w:sz w:val="20"/>
          <w:szCs w:val="20"/>
          <w:lang w:val="lv-LV" w:eastAsia="ar-SA"/>
        </w:rPr>
        <w:t xml:space="preserve"> rīkojas tās </w:t>
      </w:r>
      <w:r>
        <w:rPr>
          <w:rFonts w:ascii="Arial" w:eastAsia="Times New Roman" w:hAnsi="Arial" w:cs="Arial"/>
          <w:bCs/>
          <w:sz w:val="20"/>
          <w:szCs w:val="20"/>
          <w:lang w:val="lv-LV" w:eastAsia="ar-SA"/>
        </w:rPr>
        <w:t xml:space="preserve">valdes loceklis Andrejs </w:t>
      </w:r>
      <w:proofErr w:type="spellStart"/>
      <w:r>
        <w:rPr>
          <w:rFonts w:ascii="Arial" w:eastAsia="Times New Roman" w:hAnsi="Arial" w:cs="Arial"/>
          <w:bCs/>
          <w:sz w:val="20"/>
          <w:szCs w:val="20"/>
          <w:lang w:val="lv-LV" w:eastAsia="ar-SA"/>
        </w:rPr>
        <w:t>Blažko</w:t>
      </w:r>
      <w:proofErr w:type="spellEnd"/>
      <w:r w:rsidRPr="003B6C81">
        <w:rPr>
          <w:rFonts w:ascii="Arial" w:eastAsia="Times New Roman" w:hAnsi="Arial" w:cs="Arial"/>
          <w:bCs/>
          <w:sz w:val="20"/>
          <w:szCs w:val="20"/>
          <w:lang w:val="lv-LV" w:eastAsia="ar-SA"/>
        </w:rPr>
        <w:t>,</w:t>
      </w:r>
      <w:r w:rsidRPr="003B6C81">
        <w:rPr>
          <w:rFonts w:ascii="Arial" w:eastAsia="Times New Roman" w:hAnsi="Arial" w:cs="Arial"/>
          <w:sz w:val="20"/>
          <w:szCs w:val="20"/>
          <w:lang w:val="lv-LV" w:eastAsia="ar-SA"/>
        </w:rPr>
        <w:t xml:space="preserve"> turpmāk saukts </w:t>
      </w:r>
      <w:r w:rsidRPr="003B6C81">
        <w:rPr>
          <w:rFonts w:ascii="Arial" w:eastAsia="Times New Roman" w:hAnsi="Arial" w:cs="Arial"/>
          <w:b/>
          <w:sz w:val="20"/>
          <w:szCs w:val="20"/>
          <w:lang w:val="lv-LV" w:eastAsia="ar-SA"/>
        </w:rPr>
        <w:t>Pārdevējs</w:t>
      </w:r>
      <w:r w:rsidRPr="003B6C81">
        <w:rPr>
          <w:rFonts w:ascii="Arial" w:eastAsia="Times New Roman" w:hAnsi="Arial" w:cs="Arial"/>
          <w:sz w:val="20"/>
          <w:szCs w:val="20"/>
          <w:lang w:val="lv-LV" w:eastAsia="ar-SA"/>
        </w:rPr>
        <w:t xml:space="preserve">, no otras puses, abas kopā turpmāk tekstā – </w:t>
      </w:r>
      <w:r w:rsidRPr="003B6C81">
        <w:rPr>
          <w:rFonts w:ascii="Arial" w:eastAsia="Times New Roman" w:hAnsi="Arial" w:cs="Arial"/>
          <w:b/>
          <w:sz w:val="20"/>
          <w:szCs w:val="20"/>
          <w:lang w:val="lv-LV" w:eastAsia="ar-SA"/>
        </w:rPr>
        <w:t>Puses</w:t>
      </w:r>
      <w:r w:rsidRPr="003B6C81">
        <w:rPr>
          <w:rFonts w:ascii="Arial" w:eastAsia="Times New Roman" w:hAnsi="Arial" w:cs="Arial"/>
          <w:sz w:val="20"/>
          <w:szCs w:val="20"/>
          <w:lang w:val="lv-LV" w:eastAsia="ar-SA"/>
        </w:rPr>
        <w:t>,  izsakot savu gribu brīvi- bez maldiem, viltus vai spaidiem, noslēdz šāda satura  līgumu:</w:t>
      </w:r>
    </w:p>
    <w:p w:rsidR="00B132C7" w:rsidRPr="003B6C81" w:rsidRDefault="00B132C7" w:rsidP="00B132C7">
      <w:pPr>
        <w:widowControl/>
        <w:suppressAutoHyphens/>
        <w:jc w:val="both"/>
        <w:rPr>
          <w:rFonts w:ascii="Arial" w:eastAsia="Times New Roman" w:hAnsi="Arial" w:cs="Arial"/>
          <w:bCs/>
          <w:sz w:val="20"/>
          <w:szCs w:val="20"/>
          <w:lang w:val="lv-LV" w:eastAsia="ar-SA"/>
        </w:rPr>
      </w:pPr>
    </w:p>
    <w:p w:rsidR="00B132C7" w:rsidRPr="003B6C81" w:rsidRDefault="00B132C7" w:rsidP="00B132C7">
      <w:pPr>
        <w:widowControl/>
        <w:suppressAutoHyphens/>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 xml:space="preserve"> </w:t>
      </w:r>
    </w:p>
    <w:p w:rsidR="00B132C7" w:rsidRPr="003B6C81" w:rsidRDefault="00B132C7" w:rsidP="00B132C7">
      <w:pPr>
        <w:widowControl/>
        <w:numPr>
          <w:ilvl w:val="0"/>
          <w:numId w:val="1"/>
        </w:numPr>
        <w:suppressAutoHyphens/>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Līguma priekšmets</w:t>
      </w:r>
    </w:p>
    <w:p w:rsidR="00B132C7" w:rsidRPr="003B6C81" w:rsidRDefault="00B132C7" w:rsidP="00B132C7">
      <w:pPr>
        <w:widowControl/>
        <w:numPr>
          <w:ilvl w:val="1"/>
          <w:numId w:val="1"/>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Pārdevējs pārdod un piegādā Pircējam 2 (divus) autostāvvietu kases automātus (turpmāk tekstā – </w:t>
      </w:r>
      <w:r w:rsidRPr="003B6C81">
        <w:rPr>
          <w:rFonts w:ascii="Arial" w:eastAsia="Times New Roman" w:hAnsi="Arial" w:cs="Arial"/>
          <w:b/>
          <w:sz w:val="20"/>
          <w:szCs w:val="20"/>
          <w:lang w:val="lv-LV" w:eastAsia="ar-SA"/>
        </w:rPr>
        <w:t>Prece</w:t>
      </w:r>
      <w:r w:rsidRPr="003B6C81">
        <w:rPr>
          <w:rFonts w:ascii="Arial" w:eastAsia="Times New Roman" w:hAnsi="Arial" w:cs="Arial"/>
          <w:sz w:val="20"/>
          <w:szCs w:val="20"/>
          <w:lang w:val="lv-LV" w:eastAsia="ar-SA"/>
        </w:rPr>
        <w:t>), atbilstoši specifikācijai (pielikumā Nr.1), kas tiek pievienota šim Līgumam un ir neatņemama tā sastāvdaļa. Pircējs apņemas iegādāties Preci un veikt par to apmaksu saskaņā ar šī līguma noteikumiem.</w:t>
      </w:r>
    </w:p>
    <w:p w:rsidR="00B132C7" w:rsidRPr="003B6C81" w:rsidRDefault="00B132C7" w:rsidP="00B132C7">
      <w:pPr>
        <w:widowControl/>
        <w:suppressAutoHyphens/>
        <w:jc w:val="both"/>
        <w:rPr>
          <w:rFonts w:ascii="Arial" w:eastAsia="Times New Roman" w:hAnsi="Arial" w:cs="Arial"/>
          <w:sz w:val="20"/>
          <w:szCs w:val="20"/>
          <w:lang w:val="lv-LV" w:eastAsia="ar-SA"/>
        </w:rPr>
      </w:pPr>
    </w:p>
    <w:p w:rsidR="00B132C7" w:rsidRPr="003B6C81" w:rsidRDefault="00B132C7" w:rsidP="00B132C7">
      <w:pPr>
        <w:widowControl/>
        <w:numPr>
          <w:ilvl w:val="0"/>
          <w:numId w:val="3"/>
        </w:numPr>
        <w:suppressAutoHyphens/>
        <w:jc w:val="both"/>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Cenas un līguma kopējā vērtība</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shd w:val="clear" w:color="auto" w:fill="FFFF00"/>
          <w:lang w:val="lv-LV" w:eastAsia="ar-SA"/>
        </w:rPr>
      </w:pPr>
      <w:r w:rsidRPr="003B6C81">
        <w:rPr>
          <w:rFonts w:ascii="Arial" w:eastAsia="Times New Roman" w:hAnsi="Arial" w:cs="Arial"/>
          <w:sz w:val="20"/>
          <w:szCs w:val="20"/>
          <w:lang w:val="lv-LV" w:eastAsia="ar-SA"/>
        </w:rPr>
        <w:t xml:space="preserve">Preces  vienas vienības cena ir EUR </w:t>
      </w:r>
      <w:r>
        <w:rPr>
          <w:rFonts w:ascii="Arial" w:eastAsia="Times New Roman" w:hAnsi="Arial" w:cs="Arial"/>
          <w:sz w:val="20"/>
          <w:szCs w:val="20"/>
          <w:lang w:val="lv-LV" w:eastAsia="ar-SA"/>
        </w:rPr>
        <w:t>5 860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pieci tūkstoši astoņi simti sešdesmit eiro</w:t>
      </w:r>
      <w:r w:rsidRPr="003B6C81">
        <w:rPr>
          <w:rFonts w:ascii="Arial" w:eastAsia="Times New Roman" w:hAnsi="Arial" w:cs="Arial"/>
          <w:sz w:val="20"/>
          <w:szCs w:val="20"/>
          <w:lang w:val="lv-LV" w:eastAsia="ar-SA"/>
        </w:rPr>
        <w:t>) bez pievienotās vērtības nodokļa. Preces cenā ir iekļautas visas izmaksas saskaņā ar tehnisko specifikāciju, preču piegādes izmaksas līdz 6.2. punktā minētajai vietai un  programmēšanas darbi lai sagatavotu Preci ekspluatācijai.</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Līguma kopējā vērtība ir EUR </w:t>
      </w:r>
      <w:r>
        <w:rPr>
          <w:rFonts w:ascii="Arial" w:eastAsia="Times New Roman" w:hAnsi="Arial" w:cs="Arial"/>
          <w:sz w:val="20"/>
          <w:szCs w:val="20"/>
          <w:lang w:val="lv-LV" w:eastAsia="ar-SA"/>
        </w:rPr>
        <w:t xml:space="preserve">14 181,20 </w:t>
      </w:r>
      <w:r w:rsidRPr="003B6C81">
        <w:rPr>
          <w:rFonts w:ascii="Arial" w:eastAsia="Times New Roman" w:hAnsi="Arial" w:cs="Arial"/>
          <w:sz w:val="20"/>
          <w:szCs w:val="20"/>
          <w:lang w:val="lv-LV" w:eastAsia="ar-SA"/>
        </w:rPr>
        <w:t>(</w:t>
      </w:r>
      <w:r>
        <w:rPr>
          <w:rFonts w:ascii="Arial" w:eastAsia="Times New Roman" w:hAnsi="Arial" w:cs="Arial"/>
          <w:sz w:val="20"/>
          <w:szCs w:val="20"/>
          <w:lang w:val="lv-LV" w:eastAsia="ar-SA"/>
        </w:rPr>
        <w:t>četrpadsmit tūkstoši viens simts astoņdesmit viens eiro un 20 centi</w:t>
      </w:r>
      <w:r w:rsidRPr="003B6C81">
        <w:rPr>
          <w:rFonts w:ascii="Arial" w:eastAsia="Times New Roman" w:hAnsi="Arial" w:cs="Arial"/>
          <w:sz w:val="20"/>
          <w:szCs w:val="20"/>
          <w:lang w:val="lv-LV" w:eastAsia="ar-SA"/>
        </w:rPr>
        <w:t xml:space="preserve">), kur pievienotās vērtības nodoklis sastāda EUR </w:t>
      </w:r>
      <w:r>
        <w:rPr>
          <w:rFonts w:ascii="Arial" w:eastAsia="Times New Roman" w:hAnsi="Arial" w:cs="Arial"/>
          <w:sz w:val="20"/>
          <w:szCs w:val="20"/>
          <w:lang w:val="lv-LV" w:eastAsia="ar-SA"/>
        </w:rPr>
        <w:t>2 461,20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divi tūkstoši četri simti sešdesmit viens eiro un 20 centi</w:t>
      </w:r>
      <w:r w:rsidRPr="003B6C81">
        <w:rPr>
          <w:rFonts w:ascii="Arial" w:eastAsia="Times New Roman" w:hAnsi="Arial" w:cs="Arial"/>
          <w:sz w:val="20"/>
          <w:szCs w:val="20"/>
          <w:lang w:val="lv-LV" w:eastAsia="ar-SA"/>
        </w:rPr>
        <w:t>).</w:t>
      </w:r>
    </w:p>
    <w:p w:rsidR="00B132C7" w:rsidRPr="003B6C81" w:rsidRDefault="00B132C7" w:rsidP="00B132C7">
      <w:pPr>
        <w:widowControl/>
        <w:suppressAutoHyphens/>
        <w:jc w:val="both"/>
        <w:rPr>
          <w:rFonts w:ascii="Arial" w:eastAsia="Times New Roman" w:hAnsi="Arial" w:cs="Arial"/>
          <w:sz w:val="20"/>
          <w:szCs w:val="20"/>
          <w:lang w:val="lv-LV" w:eastAsia="ar-SA"/>
        </w:rPr>
      </w:pPr>
    </w:p>
    <w:p w:rsidR="00B132C7" w:rsidRPr="003B6C81" w:rsidRDefault="00B132C7" w:rsidP="00B132C7">
      <w:pPr>
        <w:widowControl/>
        <w:numPr>
          <w:ilvl w:val="0"/>
          <w:numId w:val="3"/>
        </w:numPr>
        <w:suppressAutoHyphens/>
        <w:jc w:val="both"/>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Norēķinu  kārtība</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Pircējs veic priekšapmaksu, kas  sastāda </w:t>
      </w:r>
      <w:r>
        <w:rPr>
          <w:rFonts w:ascii="Arial" w:eastAsia="Times New Roman" w:hAnsi="Arial" w:cs="Arial"/>
          <w:sz w:val="20"/>
          <w:szCs w:val="20"/>
          <w:lang w:val="lv-LV" w:eastAsia="ar-SA"/>
        </w:rPr>
        <w:t>50</w:t>
      </w:r>
      <w:r w:rsidRPr="003B6C81">
        <w:rPr>
          <w:rFonts w:ascii="Arial" w:eastAsia="Times New Roman" w:hAnsi="Arial" w:cs="Arial"/>
          <w:sz w:val="20"/>
          <w:szCs w:val="20"/>
          <w:lang w:val="lv-LV" w:eastAsia="ar-SA"/>
        </w:rPr>
        <w:t>% no līguma kopējās vērtības, t.i. EUR</w:t>
      </w:r>
      <w:r>
        <w:rPr>
          <w:rFonts w:ascii="Arial" w:eastAsia="Times New Roman" w:hAnsi="Arial" w:cs="Arial"/>
          <w:sz w:val="20"/>
          <w:szCs w:val="20"/>
          <w:lang w:val="lv-LV" w:eastAsia="ar-SA"/>
        </w:rPr>
        <w:t xml:space="preserve"> 7 090,60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septiņi tūkstoši deviņdesmit eiro un 60 centi</w:t>
      </w:r>
      <w:r w:rsidRPr="003B6C81">
        <w:rPr>
          <w:rFonts w:ascii="Arial" w:eastAsia="Times New Roman" w:hAnsi="Arial" w:cs="Arial"/>
          <w:sz w:val="20"/>
          <w:szCs w:val="20"/>
          <w:lang w:val="lv-LV" w:eastAsia="ar-SA"/>
        </w:rPr>
        <w:t xml:space="preserve">) ieskaitot pievienotās vērtības nodokli (21%) EUR </w:t>
      </w:r>
      <w:r>
        <w:rPr>
          <w:rFonts w:ascii="Arial" w:eastAsia="Times New Roman" w:hAnsi="Arial" w:cs="Arial"/>
          <w:sz w:val="20"/>
          <w:szCs w:val="20"/>
          <w:lang w:val="lv-LV" w:eastAsia="ar-SA"/>
        </w:rPr>
        <w:t>1 230,60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viens tūkstotis divi simti trīsdesmit eiro un 60 centi</w:t>
      </w:r>
      <w:r w:rsidRPr="003B6C81">
        <w:rPr>
          <w:rFonts w:ascii="Arial" w:eastAsia="Times New Roman" w:hAnsi="Arial" w:cs="Arial"/>
          <w:sz w:val="20"/>
          <w:szCs w:val="20"/>
          <w:lang w:val="lv-LV" w:eastAsia="ar-SA"/>
        </w:rPr>
        <w:t>), 7 (septiņu) bankas dienu laikā no līguma parakstīšanas brīža, pārskaitot naudu uz Pārdevēja bankas kontu.</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Pircējs, parakstot līgumu, kopā ar to saņem rēķinu par priekšapmaksas veikšanu.</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Pārējus </w:t>
      </w:r>
      <w:r>
        <w:rPr>
          <w:rFonts w:ascii="Arial" w:eastAsia="Times New Roman" w:hAnsi="Arial" w:cs="Arial"/>
          <w:sz w:val="20"/>
          <w:szCs w:val="20"/>
          <w:lang w:val="lv-LV" w:eastAsia="ar-SA"/>
        </w:rPr>
        <w:t>50</w:t>
      </w:r>
      <w:r w:rsidRPr="003B6C81">
        <w:rPr>
          <w:rFonts w:ascii="Arial" w:eastAsia="Times New Roman" w:hAnsi="Arial" w:cs="Arial"/>
          <w:sz w:val="20"/>
          <w:szCs w:val="20"/>
          <w:lang w:val="lv-LV" w:eastAsia="ar-SA"/>
        </w:rPr>
        <w:t>% no līguma kopējās vērtības, t.i. EUR EUR</w:t>
      </w:r>
      <w:r>
        <w:rPr>
          <w:rFonts w:ascii="Arial" w:eastAsia="Times New Roman" w:hAnsi="Arial" w:cs="Arial"/>
          <w:sz w:val="20"/>
          <w:szCs w:val="20"/>
          <w:lang w:val="lv-LV" w:eastAsia="ar-SA"/>
        </w:rPr>
        <w:t xml:space="preserve"> 7 090,60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septiņi tūkstoši deviņdesmit eiro un 60 centi</w:t>
      </w:r>
      <w:r w:rsidRPr="003B6C81">
        <w:rPr>
          <w:rFonts w:ascii="Arial" w:eastAsia="Times New Roman" w:hAnsi="Arial" w:cs="Arial"/>
          <w:sz w:val="20"/>
          <w:szCs w:val="20"/>
          <w:lang w:val="lv-LV" w:eastAsia="ar-SA"/>
        </w:rPr>
        <w:t xml:space="preserve">), ieskaitot pievienotās vērtības nodokli (21%) EUR </w:t>
      </w:r>
      <w:r>
        <w:rPr>
          <w:rFonts w:ascii="Arial" w:eastAsia="Times New Roman" w:hAnsi="Arial" w:cs="Arial"/>
          <w:sz w:val="20"/>
          <w:szCs w:val="20"/>
          <w:lang w:val="lv-LV" w:eastAsia="ar-SA"/>
        </w:rPr>
        <w:t>1 230,60</w:t>
      </w:r>
      <w:r w:rsidRPr="003B6C81">
        <w:rPr>
          <w:rFonts w:ascii="Arial" w:eastAsia="Times New Roman" w:hAnsi="Arial" w:cs="Arial"/>
          <w:sz w:val="20"/>
          <w:szCs w:val="20"/>
          <w:lang w:val="lv-LV" w:eastAsia="ar-SA"/>
        </w:rPr>
        <w:t xml:space="preserve"> (</w:t>
      </w:r>
      <w:r>
        <w:rPr>
          <w:rFonts w:ascii="Arial" w:eastAsia="Times New Roman" w:hAnsi="Arial" w:cs="Arial"/>
          <w:sz w:val="20"/>
          <w:szCs w:val="20"/>
          <w:lang w:val="lv-LV" w:eastAsia="ar-SA"/>
        </w:rPr>
        <w:t>viens tūkstotis divi simti trīsdesmit eiro un 60 centi</w:t>
      </w:r>
      <w:r w:rsidRPr="003B6C81">
        <w:rPr>
          <w:rFonts w:ascii="Arial" w:eastAsia="Times New Roman" w:hAnsi="Arial" w:cs="Arial"/>
          <w:sz w:val="20"/>
          <w:szCs w:val="20"/>
          <w:lang w:val="lv-LV" w:eastAsia="ar-SA"/>
        </w:rPr>
        <w:t>) Pircējs apmaksā pēc Preces saņemšanas. Šis maksājums jāveic 7 (septiņu) bankas dienu laikā pēc 5.1.2. noteiktā akta parakstīšanas un preču pavadzīmes rēķina saņemšanas.</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Ja Pircējs laikus pilnībā neveic jebkurus līgumā minētos maksājumus līdz apmaksas termiņa beigām, tad Pircējs maksā Pārdevējam līgumsodu 0,1% apmērā no neatmaksātās summas par katru nokavēto dienu, bet ne vairāk kā 10% apmērā no līguma kopējas summas.</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Pircējs norēķinus par Preci veic pārskaitījuma veidā, ieskaitot naudu Pārdevēja bankas kontā, kas ir norādīts šī līgumā 13.punktā.</w:t>
      </w:r>
      <w:r w:rsidRPr="003B6C81">
        <w:rPr>
          <w:rFonts w:ascii="Arial" w:eastAsia="Times New Roman" w:hAnsi="Arial" w:cs="Arial"/>
          <w:color w:val="FF0000"/>
          <w:sz w:val="20"/>
          <w:szCs w:val="20"/>
          <w:lang w:val="lv-LV" w:eastAsia="ar-SA"/>
        </w:rPr>
        <w:t xml:space="preserve"> </w:t>
      </w:r>
      <w:r w:rsidRPr="003B6C81">
        <w:rPr>
          <w:rFonts w:ascii="Arial" w:eastAsia="Times New Roman" w:hAnsi="Arial" w:cs="Arial"/>
          <w:sz w:val="20"/>
          <w:szCs w:val="20"/>
          <w:lang w:val="lv-LV" w:eastAsia="ar-SA"/>
        </w:rPr>
        <w:t>Par apmaksas dienu tiek uzskatīta diena, kurā Pircējs veicis bankas pārskaitījumu Pircēja norādītājā kontā.</w:t>
      </w:r>
    </w:p>
    <w:p w:rsidR="00B132C7" w:rsidRPr="003B6C81" w:rsidRDefault="00B132C7" w:rsidP="00B132C7">
      <w:pPr>
        <w:widowControl/>
        <w:numPr>
          <w:ilvl w:val="1"/>
          <w:numId w:val="3"/>
        </w:numPr>
        <w:suppressAutoHyphens/>
        <w:ind w:hanging="436"/>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Apmaksa tiek veikta </w:t>
      </w:r>
      <w:proofErr w:type="spellStart"/>
      <w:r w:rsidRPr="003B6C81">
        <w:rPr>
          <w:rFonts w:ascii="Arial" w:eastAsia="Times New Roman" w:hAnsi="Arial" w:cs="Arial"/>
          <w:i/>
          <w:sz w:val="20"/>
          <w:szCs w:val="20"/>
          <w:lang w:val="lv-LV" w:eastAsia="ar-SA"/>
        </w:rPr>
        <w:t>euro</w:t>
      </w:r>
      <w:proofErr w:type="spellEnd"/>
      <w:r w:rsidRPr="003B6C81">
        <w:rPr>
          <w:rFonts w:ascii="Arial" w:eastAsia="Times New Roman" w:hAnsi="Arial" w:cs="Arial"/>
          <w:sz w:val="20"/>
          <w:szCs w:val="20"/>
          <w:lang w:val="lv-LV" w:eastAsia="ar-SA"/>
        </w:rPr>
        <w:t xml:space="preserve"> (EUR).</w:t>
      </w:r>
    </w:p>
    <w:p w:rsidR="00B132C7" w:rsidRPr="003B6C81" w:rsidRDefault="00B132C7" w:rsidP="00B132C7">
      <w:pPr>
        <w:widowControl/>
        <w:suppressAutoHyphens/>
        <w:jc w:val="both"/>
        <w:rPr>
          <w:rFonts w:ascii="Arial" w:eastAsia="Times New Roman" w:hAnsi="Arial" w:cs="Arial"/>
          <w:sz w:val="20"/>
          <w:szCs w:val="20"/>
          <w:lang w:val="lv-LV" w:eastAsia="ar-SA"/>
        </w:rPr>
      </w:pPr>
    </w:p>
    <w:p w:rsidR="00B132C7" w:rsidRPr="003B6C81" w:rsidRDefault="00B132C7" w:rsidP="00B132C7">
      <w:pPr>
        <w:widowControl/>
        <w:numPr>
          <w:ilvl w:val="0"/>
          <w:numId w:val="6"/>
        </w:numPr>
        <w:suppressAutoHyphens/>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Pārdevēja pienākumi un tiesības</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Pārdevējs apņemas, pēc Preces piegādes, organizēt bezmaksas apmācības kursu Pircēja darbiniekiem par Preces un tā aprīkojuma ekspluatāciju.</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Pārdevējs apņemas nodrošināt kvalitatīvu un līguma prasībām atbilstošu Preces pārdošanu Pircējam, ar šo līguma punktu saprotot tehniski pareizi iesaiņotu, transportētu un uzglabātu Preci.</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Ja Pircējs, saņemot Preci, konstatē acīmredzamus vizuālus vai tehniskus Preces bojājumus un par to nekavējoties ir paziņojis Pārdevējam vai viņa pārstāvim, Pārdevējam ir pienākums bojāto Preci nomainīt pret Preci, kurai ir atbilstoša kvalitāte.</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lastRenderedPageBreak/>
        <w:t>Pārdevējs nodrošina pārdotās Preces garantiju saskaņā ar Latvijas Republikā spēkā esošajiem normatīvajiem aktiem.</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Pārdevējs apņemas apmainīt Precei bojātās detaļas, cik ātri vien tas ir iespējams, kā arī Preces ekspluatācijas laikā veikt tai nepieciešamo aprīkojumu un detaļu piegādi, atsevišķi saskaņojot piegādes samaksu un termiņus.</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Pārdevējs apņemas pēc Preces piegādes veikt programmēšanas darbus lai sagatavotu Preci ievadam ekspluatācijā.</w:t>
      </w:r>
    </w:p>
    <w:p w:rsidR="00B132C7" w:rsidRPr="003B6C81" w:rsidRDefault="00B132C7" w:rsidP="00B132C7">
      <w:pPr>
        <w:widowControl/>
        <w:tabs>
          <w:tab w:val="left" w:pos="709"/>
        </w:tabs>
        <w:suppressAutoHyphens/>
        <w:ind w:left="284"/>
        <w:jc w:val="both"/>
        <w:rPr>
          <w:rFonts w:ascii="Arial" w:eastAsia="Times New Roman" w:hAnsi="Arial" w:cs="Arial"/>
          <w:sz w:val="20"/>
          <w:szCs w:val="20"/>
          <w:lang w:val="lv-LV" w:eastAsia="ar-SA"/>
        </w:rPr>
      </w:pPr>
    </w:p>
    <w:p w:rsidR="00B132C7" w:rsidRPr="003B6C81" w:rsidRDefault="00B132C7" w:rsidP="00B132C7">
      <w:pPr>
        <w:widowControl/>
        <w:numPr>
          <w:ilvl w:val="0"/>
          <w:numId w:val="6"/>
        </w:numPr>
        <w:suppressAutoHyphens/>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Pircēja pienākumi un tiesības</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Pieņemt Preci saskaņā ar Pircēja izdarīto pasūtījumu:</w:t>
      </w:r>
    </w:p>
    <w:p w:rsidR="00B132C7" w:rsidRPr="003B6C81" w:rsidRDefault="00B132C7" w:rsidP="00B132C7">
      <w:pPr>
        <w:widowControl/>
        <w:numPr>
          <w:ilvl w:val="2"/>
          <w:numId w:val="6"/>
        </w:numPr>
        <w:tabs>
          <w:tab w:val="left" w:pos="993"/>
        </w:tabs>
        <w:suppressAutoHyphens/>
        <w:ind w:left="993"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trīs darba dienu laika no Pārdevēja paziņojuma saņemšanas par Preces piegādi pieņemt Preci;</w:t>
      </w:r>
    </w:p>
    <w:p w:rsidR="00B132C7" w:rsidRPr="003B6C81" w:rsidRDefault="00B132C7" w:rsidP="00B132C7">
      <w:pPr>
        <w:widowControl/>
        <w:numPr>
          <w:ilvl w:val="2"/>
          <w:numId w:val="6"/>
        </w:numPr>
        <w:tabs>
          <w:tab w:val="left" w:pos="993"/>
        </w:tabs>
        <w:suppressAutoHyphens/>
        <w:ind w:left="993"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Preces pieņemšanās brīdī parakstīt attiecīgu preces pieņemšanas aktu.</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Norēķināties par Preci pilnā apmērā saskaņā ar Līguma noteikumiem.  </w:t>
      </w:r>
    </w:p>
    <w:p w:rsidR="00B132C7" w:rsidRPr="003B6C81" w:rsidRDefault="00B132C7" w:rsidP="00B132C7">
      <w:pPr>
        <w:widowControl/>
        <w:numPr>
          <w:ilvl w:val="1"/>
          <w:numId w:val="6"/>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Preces saņemšanas brīdī, konstatējot jebkādus Preces vizuālos vai tehniskos bojājumus, kas būtu par pamatu turpmākai Preces tehniski nekorektai funkcionēšanai vai funkcionēšanas neiespējamībai, Pircējs nekavējoties par to ziņo Pārdevējam vai viņa pārstāvim.</w:t>
      </w:r>
    </w:p>
    <w:p w:rsidR="00B132C7" w:rsidRPr="003B6C81" w:rsidRDefault="00B132C7" w:rsidP="00B132C7">
      <w:pPr>
        <w:widowControl/>
        <w:suppressAutoHyphens/>
        <w:jc w:val="both"/>
        <w:rPr>
          <w:rFonts w:ascii="Arial" w:eastAsia="Times New Roman" w:hAnsi="Arial" w:cs="Arial"/>
          <w:sz w:val="20"/>
          <w:szCs w:val="20"/>
          <w:lang w:val="lv-LV" w:eastAsia="ar-SA"/>
        </w:rPr>
      </w:pPr>
    </w:p>
    <w:p w:rsidR="00B132C7" w:rsidRPr="003B6C81" w:rsidRDefault="00B132C7" w:rsidP="00B132C7">
      <w:pPr>
        <w:widowControl/>
        <w:suppressAutoHyphens/>
        <w:jc w:val="both"/>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6.    Piegādes noteikumi</w:t>
      </w:r>
    </w:p>
    <w:p w:rsidR="00B132C7" w:rsidRPr="003B6C81" w:rsidRDefault="00B132C7" w:rsidP="00B132C7">
      <w:pPr>
        <w:widowControl/>
        <w:numPr>
          <w:ilvl w:val="1"/>
          <w:numId w:val="2"/>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Prece tiek piegādāta Pircējam, ne ilgākā laikā kā </w:t>
      </w:r>
      <w:r w:rsidR="006B3D8D">
        <w:rPr>
          <w:rFonts w:ascii="Arial" w:eastAsia="Times New Roman" w:hAnsi="Arial" w:cs="Arial"/>
          <w:sz w:val="20"/>
          <w:szCs w:val="20"/>
          <w:lang w:val="lv-LV" w:eastAsia="ar-SA"/>
        </w:rPr>
        <w:t>piecpadsmit</w:t>
      </w:r>
      <w:r w:rsidRPr="003B6C81">
        <w:rPr>
          <w:rFonts w:ascii="Arial" w:eastAsia="Times New Roman" w:hAnsi="Arial" w:cs="Arial"/>
          <w:sz w:val="20"/>
          <w:szCs w:val="20"/>
          <w:lang w:val="lv-LV" w:eastAsia="ar-SA"/>
        </w:rPr>
        <w:t xml:space="preserve"> nedēļas pēc priekšapmaksas pārskaitīšanas brīža. Par katru nokavēto dienu Pārdevējs maksā Pircējam līgumsodu 0,1% apmērā no Līguma kopējās summas par katru nokavēto dienu, bet ne vairāk kā 10% apmērā no līguma kopējas summas. Par piegādes dienu tiek uzskatīta diena, kad Pārdevējs paziņojis Pircējam par preces piegādi.</w:t>
      </w:r>
    </w:p>
    <w:p w:rsidR="00B132C7" w:rsidRPr="003B6C81" w:rsidRDefault="00B132C7" w:rsidP="00B132C7">
      <w:pPr>
        <w:widowControl/>
        <w:numPr>
          <w:ilvl w:val="1"/>
          <w:numId w:val="2"/>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Piegādi pēc adreses Imantas iela 35A, Daugavpils, veic Pārdevējs. Preču transportēšanu un pārvietošanu Pārdevējs veic par saviem līdzekļiem.</w:t>
      </w:r>
    </w:p>
    <w:p w:rsidR="00B132C7" w:rsidRPr="003B6C81" w:rsidRDefault="00B132C7" w:rsidP="00B132C7">
      <w:pPr>
        <w:widowControl/>
        <w:suppressAutoHyphens/>
        <w:jc w:val="both"/>
        <w:rPr>
          <w:rFonts w:ascii="Arial" w:eastAsia="Times New Roman" w:hAnsi="Arial" w:cs="Arial"/>
          <w:sz w:val="20"/>
          <w:szCs w:val="20"/>
          <w:lang w:val="lv-LV" w:eastAsia="ar-SA"/>
        </w:rPr>
      </w:pPr>
    </w:p>
    <w:p w:rsidR="00B132C7" w:rsidRPr="003B6C81" w:rsidRDefault="00B132C7" w:rsidP="00B132C7">
      <w:pPr>
        <w:widowControl/>
        <w:numPr>
          <w:ilvl w:val="0"/>
          <w:numId w:val="8"/>
        </w:numPr>
        <w:suppressAutoHyphens/>
        <w:jc w:val="both"/>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Garantijas  termiņi un preču atbilstība</w:t>
      </w:r>
    </w:p>
    <w:p w:rsidR="00B132C7" w:rsidRPr="003B6C81" w:rsidRDefault="00B132C7" w:rsidP="00B132C7">
      <w:pPr>
        <w:widowControl/>
        <w:numPr>
          <w:ilvl w:val="1"/>
          <w:numId w:val="8"/>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Piegādātās preces garantijas termiņš – divdesmit četri mēneši pēc Preces nodošanas  Pircējam, pie nosacījuma, ka Pircējs ievēro ekspluatācijas noteikumus.</w:t>
      </w:r>
    </w:p>
    <w:p w:rsidR="00B132C7" w:rsidRPr="003B6C81" w:rsidRDefault="00B132C7" w:rsidP="00B132C7">
      <w:pPr>
        <w:widowControl/>
        <w:numPr>
          <w:ilvl w:val="1"/>
          <w:numId w:val="8"/>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Piegādātās Preces kvalitātei jāatbilst tehniskajai specifikācijai (pielikums Nr.1), Precei jābūt adaptētai Latvijas apstākļiem un līgumā definētām prasībām un LR normatīvajiem aktiem, atbilstoši VID reģistrācijai atbilstošām prasībām.</w:t>
      </w:r>
    </w:p>
    <w:p w:rsidR="00B132C7" w:rsidRPr="003B6C81" w:rsidRDefault="00B132C7" w:rsidP="00B132C7">
      <w:pPr>
        <w:widowControl/>
        <w:numPr>
          <w:ilvl w:val="1"/>
          <w:numId w:val="8"/>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Pircējam pretenzijas par Preces kvalitāti jāiesniedz Pārdevējam 2 (divu) darba dienu laikā no defektu un trūkumu atklāšanas.</w:t>
      </w:r>
    </w:p>
    <w:p w:rsidR="00B132C7" w:rsidRPr="003B6C81" w:rsidRDefault="00B132C7" w:rsidP="00B132C7">
      <w:pPr>
        <w:widowControl/>
        <w:numPr>
          <w:ilvl w:val="1"/>
          <w:numId w:val="8"/>
        </w:numPr>
        <w:tabs>
          <w:tab w:val="left" w:pos="709"/>
        </w:tabs>
        <w:suppressAutoHyphens/>
        <w:ind w:left="709" w:hanging="425"/>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Pārdevējam jāpiegādā Preces, kas ir brīvas no jebkādām trešo personu tiesībām vai prasībām, ja vien Pircējs nav piekritis pieņemt ar šādām tiesībām vai prasībām apgrūtinātas Preces.</w:t>
      </w:r>
    </w:p>
    <w:p w:rsidR="00B132C7" w:rsidRPr="003B6C81" w:rsidRDefault="00B132C7" w:rsidP="00B132C7">
      <w:pPr>
        <w:widowControl/>
        <w:suppressAutoHyphens/>
        <w:jc w:val="both"/>
        <w:rPr>
          <w:rFonts w:ascii="Arial" w:eastAsia="Times New Roman" w:hAnsi="Arial" w:cs="Arial"/>
          <w:color w:val="000000"/>
          <w:sz w:val="20"/>
          <w:szCs w:val="20"/>
          <w:lang w:val="lv-LV" w:eastAsia="ar-SA"/>
        </w:rPr>
      </w:pPr>
    </w:p>
    <w:p w:rsidR="00B132C7" w:rsidRPr="003B6C81" w:rsidRDefault="00B132C7" w:rsidP="00B132C7">
      <w:pPr>
        <w:widowControl/>
        <w:numPr>
          <w:ilvl w:val="0"/>
          <w:numId w:val="4"/>
        </w:numPr>
        <w:tabs>
          <w:tab w:val="left" w:pos="426"/>
        </w:tabs>
        <w:suppressAutoHyphens/>
        <w:ind w:left="426" w:hanging="426"/>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Līguma termiņš</w:t>
      </w:r>
    </w:p>
    <w:p w:rsidR="00B132C7" w:rsidRPr="003B6C81" w:rsidRDefault="00B132C7" w:rsidP="00B132C7">
      <w:pPr>
        <w:widowControl/>
        <w:numPr>
          <w:ilvl w:val="1"/>
          <w:numId w:val="10"/>
        </w:numPr>
        <w:tabs>
          <w:tab w:val="left" w:pos="709"/>
        </w:tabs>
        <w:suppressAutoHyphens/>
        <w:ind w:left="709" w:hanging="425"/>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Līgums stājas spēkā no tā parakstīšanas brīža un darbojas līdz pušu saistību pilnīgai izpildei.</w:t>
      </w:r>
    </w:p>
    <w:p w:rsidR="00B132C7" w:rsidRPr="003B6C81" w:rsidRDefault="00B132C7" w:rsidP="00B132C7">
      <w:pPr>
        <w:widowControl/>
        <w:suppressAutoHyphens/>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 xml:space="preserve"> </w:t>
      </w:r>
    </w:p>
    <w:p w:rsidR="00B132C7" w:rsidRPr="003B6C81" w:rsidRDefault="00B132C7" w:rsidP="00B132C7">
      <w:pPr>
        <w:widowControl/>
        <w:numPr>
          <w:ilvl w:val="0"/>
          <w:numId w:val="4"/>
        </w:numPr>
        <w:tabs>
          <w:tab w:val="left" w:pos="426"/>
        </w:tabs>
        <w:suppressAutoHyphens/>
        <w:ind w:left="426" w:hanging="426"/>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Nepārvarama vara</w:t>
      </w:r>
    </w:p>
    <w:p w:rsidR="00B132C7" w:rsidRPr="003B6C81" w:rsidRDefault="00B132C7" w:rsidP="00B132C7">
      <w:pPr>
        <w:widowControl/>
        <w:numPr>
          <w:ilvl w:val="1"/>
          <w:numId w:val="7"/>
        </w:numPr>
        <w:tabs>
          <w:tab w:val="left" w:pos="709"/>
        </w:tabs>
        <w:suppressAutoHyphens/>
        <w:ind w:left="709" w:hanging="425"/>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Puses nav atbildīgas par līgumsaistību neizpildi vai nepienācīgu izpildi, ja šāda neizpilde vai nepienācīga izpilde radusies nepārvaramas varas rezultātā. Par nepārvaramu varu Puses uzskata ugunsgrēkus, dabas katastrofas, militāras agresijas, streikus, grozījumus Latvijas Republikas normatīvajos aktos, valsts institūciju lēmumus un citus nepārvaramas varas izpausmes veidus, kas traucē izpildīt šo Līgumu, un kas nav izveidojušies kā Pušu darbības vai bezdarbības tiešas vai netiešas sekas, kurus Puses nav paredzējuši un nav varējuši paredzēt, noslēdzot šo līgumu.</w:t>
      </w:r>
    </w:p>
    <w:p w:rsidR="00B132C7" w:rsidRPr="003B6C81" w:rsidRDefault="00B132C7" w:rsidP="00B132C7">
      <w:pPr>
        <w:widowControl/>
        <w:numPr>
          <w:ilvl w:val="1"/>
          <w:numId w:val="7"/>
        </w:numPr>
        <w:tabs>
          <w:tab w:val="left" w:pos="709"/>
        </w:tabs>
        <w:suppressAutoHyphens/>
        <w:ind w:left="709" w:hanging="425"/>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Ja iestājas nepārvaramas varas apstākļi, pusei ir pienākums nekavējoties mutiski informēt līguma beigu rekvizītos norādīto otras puses atbildīgo darbinieku, kā arī ne vēlāk kā 2 (divu) darba dienu laikā pēc minēto iemeslu konstatēšanas iesniegt rakstveida paziņojumu otrai pusei.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B132C7" w:rsidRPr="003B6C81" w:rsidRDefault="00B132C7" w:rsidP="00B132C7">
      <w:pPr>
        <w:widowControl/>
        <w:numPr>
          <w:ilvl w:val="1"/>
          <w:numId w:val="7"/>
        </w:numPr>
        <w:tabs>
          <w:tab w:val="left" w:pos="709"/>
        </w:tabs>
        <w:suppressAutoHyphens/>
        <w:ind w:left="709" w:hanging="425"/>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 xml:space="preserve">Ja Līguma 9.1. punktā minētie apstākļi turpinās ilgāk nekā 3 (trīs) mēnešus, jebkura no pusēm ir tiesīga vienpusēji izbeigt šo līgumu, par to rakstveidā paziņojot otrai pusei. </w:t>
      </w:r>
    </w:p>
    <w:p w:rsidR="00B132C7" w:rsidRPr="003B6C81" w:rsidRDefault="00B132C7" w:rsidP="00B132C7">
      <w:pPr>
        <w:tabs>
          <w:tab w:val="left" w:pos="709"/>
        </w:tabs>
        <w:suppressAutoHyphens/>
        <w:ind w:left="284"/>
        <w:jc w:val="both"/>
        <w:rPr>
          <w:rFonts w:ascii="Arial" w:eastAsia="Times New Roman" w:hAnsi="Arial" w:cs="Arial"/>
          <w:bCs/>
          <w:sz w:val="20"/>
          <w:szCs w:val="20"/>
          <w:lang w:val="lv-LV" w:eastAsia="ar-SA"/>
        </w:rPr>
      </w:pPr>
    </w:p>
    <w:p w:rsidR="00B132C7" w:rsidRPr="003B6C81" w:rsidRDefault="00B132C7" w:rsidP="00B132C7">
      <w:pPr>
        <w:suppressAutoHyphens/>
        <w:jc w:val="both"/>
        <w:rPr>
          <w:rFonts w:ascii="Arial" w:eastAsia="Times New Roman" w:hAnsi="Arial" w:cs="Arial"/>
          <w:bCs/>
          <w:sz w:val="20"/>
          <w:szCs w:val="20"/>
          <w:lang w:val="lv-LV" w:eastAsia="ar-SA"/>
        </w:rPr>
      </w:pPr>
    </w:p>
    <w:p w:rsidR="00B132C7" w:rsidRPr="003B6C81" w:rsidRDefault="00B132C7" w:rsidP="00B132C7">
      <w:pPr>
        <w:widowControl/>
        <w:numPr>
          <w:ilvl w:val="0"/>
          <w:numId w:val="4"/>
        </w:numPr>
        <w:tabs>
          <w:tab w:val="left" w:pos="426"/>
        </w:tabs>
        <w:suppressAutoHyphens/>
        <w:ind w:left="426" w:hanging="426"/>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Piemērojamās tiesības</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bCs/>
          <w:sz w:val="20"/>
          <w:szCs w:val="20"/>
          <w:lang w:val="lv-LV" w:eastAsia="ar-SA"/>
        </w:rPr>
      </w:pPr>
      <w:r w:rsidRPr="003B6C81">
        <w:rPr>
          <w:rFonts w:ascii="Arial" w:eastAsia="Times New Roman" w:hAnsi="Arial" w:cs="Arial"/>
          <w:bCs/>
          <w:sz w:val="20"/>
          <w:szCs w:val="20"/>
          <w:lang w:val="lv-LV" w:eastAsia="ar-SA"/>
        </w:rPr>
        <w:t>Puses vienojas, ka saistībām, kas izriet no šī Līguma, tiek piemēroti Latvijas Republikā spēkā esošie normatīvie akti un Latvijas Republikā atzītie starptautiskie dokumenti.</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Strīdu gadījumā Puses mēģina atrisināt tos sarunu ceļā.</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Visi strīdi, kas nav atrisināmi, pusēm savstarpēji vienojoties, tiek nodoti  Latvijas Republikas tiesu instancēm.</w:t>
      </w:r>
    </w:p>
    <w:p w:rsidR="00B132C7" w:rsidRPr="003B6C81" w:rsidRDefault="00B132C7" w:rsidP="00B132C7">
      <w:pPr>
        <w:widowControl/>
        <w:suppressAutoHyphens/>
        <w:ind w:left="284"/>
        <w:jc w:val="both"/>
        <w:rPr>
          <w:rFonts w:ascii="Arial" w:eastAsia="Times New Roman" w:hAnsi="Arial" w:cs="Arial"/>
          <w:bCs/>
          <w:sz w:val="20"/>
          <w:szCs w:val="20"/>
          <w:lang w:val="lv-LV" w:eastAsia="ar-SA"/>
        </w:rPr>
      </w:pPr>
    </w:p>
    <w:p w:rsidR="00B132C7" w:rsidRPr="003B6C81" w:rsidRDefault="00B132C7" w:rsidP="00B132C7">
      <w:pPr>
        <w:widowControl/>
        <w:numPr>
          <w:ilvl w:val="0"/>
          <w:numId w:val="5"/>
        </w:numPr>
        <w:suppressAutoHyphens/>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Konfidencialitāte</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Puses apņemas aizsargāt, neizplatīt un bez iepriekšējas savstarpēji rakstiskas saskaņošanas neizpaust trešajām personām pilnīgi vai daļēji šī līguma saturu, citu ar to izpildi saistītu dokumentu saturu, informāciju, kas iegūta līguma noteikumu izpildīšanas procesā, kā arī pušu rīcībā esošo tehnisko, komerciālo un citu informāciju par otru pusi un tā darbību, izņemot Latvijas Republikas normatīvajos aktos paredzētajos gadījumos.</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Puses apņemas nodrošināt iepriekš minētās informācijas neizpaušanu no savu darbinieku puses. Puses ir savstarpēji mantiski atbildīgas par šajā līgumā paredzēto konfidencialitātes noteikumu pārkāpšanas rezultātā radīto zaudējumu atlīdzināšanu.</w:t>
      </w:r>
    </w:p>
    <w:p w:rsidR="00B132C7" w:rsidRPr="003B6C81" w:rsidRDefault="00B132C7" w:rsidP="00B132C7">
      <w:pPr>
        <w:widowControl/>
        <w:numPr>
          <w:ilvl w:val="1"/>
          <w:numId w:val="5"/>
        </w:numPr>
        <w:tabs>
          <w:tab w:val="left" w:pos="851"/>
        </w:tabs>
        <w:suppressAutoHyphens/>
        <w:ind w:left="851" w:hanging="567"/>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Konfidencialitātes noteikumi ir spēkā līguma darbības laikā un gadu pēc līguma beigām.</w:t>
      </w:r>
    </w:p>
    <w:p w:rsidR="00B132C7" w:rsidRPr="003B6C81" w:rsidRDefault="00B132C7" w:rsidP="00B132C7">
      <w:pPr>
        <w:suppressAutoHyphens/>
        <w:jc w:val="both"/>
        <w:rPr>
          <w:rFonts w:ascii="Arial" w:eastAsia="Times New Roman" w:hAnsi="Arial" w:cs="Arial"/>
          <w:sz w:val="20"/>
          <w:szCs w:val="20"/>
          <w:lang w:val="lv-LV" w:eastAsia="ar-SA"/>
        </w:rPr>
      </w:pPr>
    </w:p>
    <w:p w:rsidR="00B132C7" w:rsidRPr="003B6C81" w:rsidRDefault="00B132C7" w:rsidP="00B132C7">
      <w:pPr>
        <w:widowControl/>
        <w:numPr>
          <w:ilvl w:val="0"/>
          <w:numId w:val="5"/>
        </w:numPr>
        <w:suppressAutoHyphens/>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Papildus noteikumi</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Preču zaudējuma vai bojājuma risks un attiecīgi izdevumi pāriet Pircējam ar brīdi, kad viņš pieņem Preci ar pieņemšanas  - nodošanas aktu. Pēc Preces nodošanas Pircējam Preces zaudējums vai bojājums neatbrīvo Pircēju no pienākuma samaksāt līguma summu.</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Pēc pušu vienošanās Līgumā noteiktais līgumsods var tikt samazināts līdz saprātīgai robežai, ja tas ir acīmredzami pārmērīgs, salīdzinot ar neizpildīšanas radīto faktisko kaitējumu un citiem apstākļiem.</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Šajā līgumā noteiktā līgumsoda samaksa neatbrīvo pusi, kurai jāmaksā līgumsods, no citu saistību izpildes un zaudējumu segšanas.</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Pusēm nekavējoties ir jāinform</w:t>
      </w:r>
      <w:bookmarkStart w:id="0" w:name="_GoBack"/>
      <w:bookmarkEnd w:id="0"/>
      <w:r w:rsidRPr="003B6C81">
        <w:rPr>
          <w:rFonts w:ascii="Arial" w:eastAsia="Times New Roman" w:hAnsi="Arial" w:cs="Arial"/>
          <w:sz w:val="20"/>
          <w:szCs w:val="20"/>
          <w:lang w:val="lv-LV" w:eastAsia="ar-SA"/>
        </w:rPr>
        <w:t>ē vienai otru par sava nosaukuma, uzņēmējdarbības formas, juridiskās vai kontaktadreses, zīmoga nospieduma, reģistrācijas numura maiņu, kā arī pārstāvju, viņu paraksta tiesību, vārda, uzvārda vai pases datu izmaiņām.</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Šis parakstītais līgums pilnībā apliecina pušu vienošanos. Jebkuras izmaiņas šī līguma noteikumos stāsies spēkā tikai tad, kad tās tiks noformētas rakstiski un tās paraksta abi līgumslēdzēji vai to pilnvarotās personas. Nekādas mutiskas vienošanās netiks uzskatītas par saistošām.</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Šis līgums ir saistošs līdzēju pārvaldes institūcijām, administratoriem, pilnvarniekiem, darbiniekiem un juridiskajiem tiesību pārņēmējiem.</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Ja kāds no šā Līguma punktiem zaudē savu juridisko spēku, tas neietekmē pārējo Līguma punktu spēkā esamību.</w:t>
      </w:r>
    </w:p>
    <w:p w:rsidR="00B132C7" w:rsidRPr="003B6C81" w:rsidRDefault="00B132C7" w:rsidP="00B132C7">
      <w:pPr>
        <w:widowControl/>
        <w:numPr>
          <w:ilvl w:val="1"/>
          <w:numId w:val="9"/>
        </w:numPr>
        <w:tabs>
          <w:tab w:val="left" w:pos="851"/>
        </w:tabs>
        <w:suppressAutoHyphens/>
        <w:ind w:left="851" w:hanging="491"/>
        <w:jc w:val="both"/>
        <w:rPr>
          <w:rFonts w:ascii="Arial" w:eastAsia="Times New Roman" w:hAnsi="Arial" w:cs="Arial"/>
          <w:sz w:val="20"/>
          <w:szCs w:val="20"/>
          <w:lang w:val="lv-LV" w:eastAsia="ar-SA"/>
        </w:rPr>
      </w:pPr>
      <w:r w:rsidRPr="003B6C81">
        <w:rPr>
          <w:rFonts w:ascii="Arial" w:eastAsia="Times New Roman" w:hAnsi="Arial" w:cs="Arial"/>
          <w:sz w:val="20"/>
          <w:szCs w:val="20"/>
          <w:lang w:val="lv-LV" w:eastAsia="ar-SA"/>
        </w:rPr>
        <w:t>Līgums sastādīts un izklāstīts uz 3 (trīs) lapām, parakstīts divos eksemplāros latviešu valodā: Pircējam - viens eksemplārs, Pārdevējam - viens eksemplārs. Abiem līguma eksemplāriem ir vienāds juridisks spēks. Puses paraksta katru lapu.</w:t>
      </w:r>
    </w:p>
    <w:p w:rsidR="006B3D8D" w:rsidRPr="003B6C81" w:rsidRDefault="00B132C7" w:rsidP="00B132C7">
      <w:pPr>
        <w:suppressAutoHyphens/>
        <w:jc w:val="both"/>
        <w:rPr>
          <w:rFonts w:ascii="Arial" w:eastAsia="Times New Roman" w:hAnsi="Arial" w:cs="Arial"/>
          <w:b/>
          <w:sz w:val="20"/>
          <w:szCs w:val="20"/>
          <w:lang w:val="lv-LV" w:eastAsia="ar-SA"/>
        </w:rPr>
      </w:pPr>
      <w:r w:rsidRPr="003B6C81">
        <w:rPr>
          <w:rFonts w:ascii="Arial" w:eastAsia="Times New Roman" w:hAnsi="Arial" w:cs="Arial"/>
          <w:b/>
          <w:sz w:val="20"/>
          <w:szCs w:val="20"/>
          <w:lang w:val="lv-LV" w:eastAsia="ar-SA"/>
        </w:rPr>
        <w:t xml:space="preserve"> </w:t>
      </w:r>
    </w:p>
    <w:p w:rsidR="00B132C7" w:rsidRPr="003B6C81" w:rsidRDefault="00B132C7" w:rsidP="00B132C7">
      <w:pPr>
        <w:widowControl/>
        <w:numPr>
          <w:ilvl w:val="0"/>
          <w:numId w:val="5"/>
        </w:numPr>
        <w:suppressAutoHyphens/>
        <w:jc w:val="both"/>
        <w:rPr>
          <w:rFonts w:ascii="Arial" w:eastAsia="Times New Roman" w:hAnsi="Arial" w:cs="Arial"/>
          <w:b/>
          <w:bCs/>
          <w:sz w:val="20"/>
          <w:szCs w:val="20"/>
          <w:lang w:val="lv-LV" w:eastAsia="ar-SA"/>
        </w:rPr>
      </w:pPr>
      <w:r w:rsidRPr="003B6C81">
        <w:rPr>
          <w:rFonts w:ascii="Arial" w:eastAsia="Times New Roman" w:hAnsi="Arial" w:cs="Arial"/>
          <w:b/>
          <w:bCs/>
          <w:sz w:val="20"/>
          <w:szCs w:val="20"/>
          <w:lang w:val="lv-LV" w:eastAsia="ar-SA"/>
        </w:rPr>
        <w:t>Pušu rekvizīti un paraksti</w:t>
      </w:r>
    </w:p>
    <w:tbl>
      <w:tblPr>
        <w:tblW w:w="0" w:type="auto"/>
        <w:tblLayout w:type="fixed"/>
        <w:tblLook w:val="0000" w:firstRow="0" w:lastRow="0" w:firstColumn="0" w:lastColumn="0" w:noHBand="0" w:noVBand="0"/>
      </w:tblPr>
      <w:tblGrid>
        <w:gridCol w:w="5148"/>
        <w:gridCol w:w="4320"/>
      </w:tblGrid>
      <w:tr w:rsidR="00B132C7" w:rsidRPr="003B6C81" w:rsidTr="00B62166">
        <w:tc>
          <w:tcPr>
            <w:tcW w:w="5148"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b/>
                <w:color w:val="000000"/>
                <w:sz w:val="20"/>
                <w:szCs w:val="20"/>
                <w:lang w:val="lv-LV" w:eastAsia="ar-SA"/>
              </w:rPr>
            </w:pPr>
            <w:r w:rsidRPr="003B6C81">
              <w:rPr>
                <w:rFonts w:ascii="Arial" w:eastAsia="Arial" w:hAnsi="Arial" w:cs="Arial"/>
                <w:b/>
                <w:color w:val="000000"/>
                <w:sz w:val="20"/>
                <w:szCs w:val="20"/>
                <w:lang w:val="lv-LV" w:eastAsia="ar-SA"/>
              </w:rPr>
              <w:t>Pārdevējs</w:t>
            </w:r>
          </w:p>
        </w:tc>
        <w:tc>
          <w:tcPr>
            <w:tcW w:w="4320"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b/>
                <w:color w:val="000000"/>
                <w:sz w:val="20"/>
                <w:szCs w:val="20"/>
                <w:lang w:val="lv-LV" w:eastAsia="ar-SA"/>
              </w:rPr>
            </w:pPr>
            <w:r w:rsidRPr="003B6C81">
              <w:rPr>
                <w:rFonts w:ascii="Arial" w:eastAsia="Arial" w:hAnsi="Arial" w:cs="Arial"/>
                <w:b/>
                <w:color w:val="000000"/>
                <w:sz w:val="20"/>
                <w:szCs w:val="20"/>
                <w:lang w:val="lv-LV" w:eastAsia="ar-SA"/>
              </w:rPr>
              <w:t>Pircējs</w:t>
            </w:r>
          </w:p>
        </w:tc>
      </w:tr>
      <w:tr w:rsidR="00B132C7" w:rsidRPr="003B6C81" w:rsidTr="00B62166">
        <w:tc>
          <w:tcPr>
            <w:tcW w:w="5148"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B132C7">
              <w:rPr>
                <w:rFonts w:ascii="Arial" w:eastAsia="Arial" w:hAnsi="Arial" w:cs="Arial"/>
                <w:color w:val="000000"/>
                <w:sz w:val="20"/>
                <w:szCs w:val="20"/>
                <w:lang w:val="lv-LV" w:eastAsia="ar-SA"/>
              </w:rPr>
              <w:t xml:space="preserve">SIA “BMS Tehnoloģija” </w:t>
            </w: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B132C7">
              <w:rPr>
                <w:rFonts w:ascii="Arial" w:eastAsia="Arial" w:hAnsi="Arial" w:cs="Arial"/>
                <w:color w:val="000000"/>
                <w:sz w:val="20"/>
                <w:szCs w:val="20"/>
                <w:lang w:val="lv-LV" w:eastAsia="ar-SA"/>
              </w:rPr>
              <w:t>Raunas iela 5, Rīga, LV-1039</w:t>
            </w: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proofErr w:type="spellStart"/>
            <w:r w:rsidRPr="00B132C7">
              <w:rPr>
                <w:rFonts w:ascii="Arial" w:eastAsia="Arial" w:hAnsi="Arial" w:cs="Arial"/>
                <w:color w:val="000000"/>
                <w:sz w:val="20"/>
                <w:szCs w:val="20"/>
                <w:lang w:val="lv-LV" w:eastAsia="ar-SA"/>
              </w:rPr>
              <w:t>reģ</w:t>
            </w:r>
            <w:proofErr w:type="spellEnd"/>
            <w:r w:rsidRPr="00B132C7">
              <w:rPr>
                <w:rFonts w:ascii="Arial" w:eastAsia="Arial" w:hAnsi="Arial" w:cs="Arial"/>
                <w:color w:val="000000"/>
                <w:sz w:val="20"/>
                <w:szCs w:val="20"/>
                <w:lang w:val="lv-LV" w:eastAsia="ar-SA"/>
              </w:rPr>
              <w:t>. Nr.LV 50003510331</w:t>
            </w: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B132C7">
              <w:rPr>
                <w:rFonts w:ascii="Arial" w:eastAsia="Arial" w:hAnsi="Arial" w:cs="Arial"/>
                <w:color w:val="000000"/>
                <w:sz w:val="20"/>
                <w:szCs w:val="20"/>
                <w:lang w:val="lv-LV" w:eastAsia="ar-SA"/>
              </w:rPr>
              <w:t>Banka: A/S Swedbank</w:t>
            </w: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B132C7">
              <w:rPr>
                <w:rFonts w:ascii="Arial" w:eastAsia="Arial" w:hAnsi="Arial" w:cs="Arial"/>
                <w:color w:val="000000"/>
                <w:sz w:val="20"/>
                <w:szCs w:val="20"/>
                <w:lang w:val="lv-LV" w:eastAsia="ar-SA"/>
              </w:rPr>
              <w:t>kods: HABALV22</w:t>
            </w:r>
          </w:p>
          <w:p w:rsidR="00B132C7" w:rsidRPr="00B132C7"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B132C7">
              <w:rPr>
                <w:rFonts w:ascii="Arial" w:eastAsia="Arial" w:hAnsi="Arial" w:cs="Arial"/>
                <w:color w:val="000000"/>
                <w:sz w:val="20"/>
                <w:szCs w:val="20"/>
                <w:lang w:val="lv-LV" w:eastAsia="ar-SA"/>
              </w:rPr>
              <w:t>Konta Nr. LV46HABA0551000543359</w:t>
            </w:r>
          </w:p>
          <w:p w:rsidR="00B132C7" w:rsidRPr="003B6C81"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proofErr w:type="spellStart"/>
            <w:r w:rsidRPr="00B132C7">
              <w:rPr>
                <w:rFonts w:ascii="Arial" w:eastAsia="Arial" w:hAnsi="Arial" w:cs="Arial"/>
                <w:color w:val="000000"/>
                <w:sz w:val="20"/>
                <w:szCs w:val="20"/>
                <w:lang w:val="lv-LV" w:eastAsia="ar-SA"/>
              </w:rPr>
              <w:t>Tālr</w:t>
            </w:r>
            <w:proofErr w:type="spellEnd"/>
            <w:r w:rsidRPr="00B132C7">
              <w:rPr>
                <w:rFonts w:ascii="Arial" w:eastAsia="Arial" w:hAnsi="Arial" w:cs="Arial"/>
                <w:color w:val="000000"/>
                <w:sz w:val="20"/>
                <w:szCs w:val="20"/>
                <w:lang w:val="lv-LV" w:eastAsia="ar-SA"/>
              </w:rPr>
              <w:t>: 67505022; fakss: 67505020</w:t>
            </w:r>
          </w:p>
        </w:tc>
        <w:tc>
          <w:tcPr>
            <w:tcW w:w="4320"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SIA “</w:t>
            </w:r>
            <w:proofErr w:type="spellStart"/>
            <w:r w:rsidRPr="003B6C81">
              <w:rPr>
                <w:rFonts w:ascii="Arial" w:eastAsia="Arial" w:hAnsi="Arial" w:cs="Arial"/>
                <w:color w:val="000000"/>
                <w:sz w:val="20"/>
                <w:szCs w:val="20"/>
                <w:lang w:val="lv-LV" w:eastAsia="ar-SA"/>
              </w:rPr>
              <w:t>Parkings</w:t>
            </w:r>
            <w:proofErr w:type="spellEnd"/>
            <w:r w:rsidRPr="003B6C81">
              <w:rPr>
                <w:rFonts w:ascii="Arial" w:eastAsia="Arial" w:hAnsi="Arial" w:cs="Arial"/>
                <w:color w:val="000000"/>
                <w:sz w:val="20"/>
                <w:szCs w:val="20"/>
                <w:lang w:val="lv-LV" w:eastAsia="ar-SA"/>
              </w:rPr>
              <w:t xml:space="preserve"> D”</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roofErr w:type="spellStart"/>
            <w:r w:rsidRPr="003B6C81">
              <w:rPr>
                <w:rFonts w:ascii="Arial" w:eastAsia="Arial" w:hAnsi="Arial" w:cs="Arial"/>
                <w:color w:val="000000"/>
                <w:sz w:val="20"/>
                <w:szCs w:val="20"/>
                <w:lang w:val="lv-LV" w:eastAsia="ar-SA"/>
              </w:rPr>
              <w:t>Kr.Valdemara</w:t>
            </w:r>
            <w:proofErr w:type="spellEnd"/>
            <w:r w:rsidRPr="003B6C81">
              <w:rPr>
                <w:rFonts w:ascii="Arial" w:eastAsia="Arial" w:hAnsi="Arial" w:cs="Arial"/>
                <w:color w:val="000000"/>
                <w:sz w:val="20"/>
                <w:szCs w:val="20"/>
                <w:lang w:val="lv-LV" w:eastAsia="ar-SA"/>
              </w:rPr>
              <w:t xml:space="preserve"> iela 13, Daugavpils, LV-5401</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roofErr w:type="spellStart"/>
            <w:r w:rsidRPr="003B6C81">
              <w:rPr>
                <w:rFonts w:ascii="Arial" w:eastAsia="Arial" w:hAnsi="Arial" w:cs="Arial"/>
                <w:color w:val="000000"/>
                <w:sz w:val="20"/>
                <w:szCs w:val="20"/>
                <w:lang w:val="lv-LV" w:eastAsia="ar-SA"/>
              </w:rPr>
              <w:t>reģ</w:t>
            </w:r>
            <w:proofErr w:type="spellEnd"/>
            <w:r w:rsidRPr="003B6C81">
              <w:rPr>
                <w:rFonts w:ascii="Arial" w:eastAsia="Arial" w:hAnsi="Arial" w:cs="Arial"/>
                <w:color w:val="000000"/>
                <w:sz w:val="20"/>
                <w:szCs w:val="20"/>
                <w:lang w:val="lv-LV" w:eastAsia="ar-SA"/>
              </w:rPr>
              <w:t>. nr. LV 41503025952</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Banka: NORVIK BANKA</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kods: LATBLV22</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Konta nr.: LV09LATB0006010007037</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Tālr./Fakss: 65420633</w:t>
            </w: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p>
        </w:tc>
      </w:tr>
      <w:tr w:rsidR="00B132C7" w:rsidRPr="003B6C81" w:rsidTr="00B62166">
        <w:tc>
          <w:tcPr>
            <w:tcW w:w="5148"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_____________________________</w:t>
            </w:r>
          </w:p>
          <w:p w:rsidR="00B132C7" w:rsidRPr="003B6C81"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b/>
                <w:bCs/>
                <w:color w:val="000000"/>
                <w:sz w:val="20"/>
                <w:szCs w:val="20"/>
                <w:lang w:val="lv-LV" w:eastAsia="ar-SA"/>
              </w:rPr>
            </w:pPr>
            <w:r>
              <w:rPr>
                <w:rFonts w:ascii="Arial" w:eastAsia="Arial" w:hAnsi="Arial" w:cs="Arial"/>
                <w:b/>
                <w:bCs/>
                <w:color w:val="000000"/>
                <w:sz w:val="20"/>
                <w:szCs w:val="20"/>
                <w:lang w:val="lv-LV" w:eastAsia="ar-SA"/>
              </w:rPr>
              <w:t xml:space="preserve">Andrejs </w:t>
            </w:r>
            <w:proofErr w:type="spellStart"/>
            <w:r>
              <w:rPr>
                <w:rFonts w:ascii="Arial" w:eastAsia="Arial" w:hAnsi="Arial" w:cs="Arial"/>
                <w:b/>
                <w:bCs/>
                <w:color w:val="000000"/>
                <w:sz w:val="20"/>
                <w:szCs w:val="20"/>
                <w:lang w:val="lv-LV" w:eastAsia="ar-SA"/>
              </w:rPr>
              <w:t>Blažko</w:t>
            </w:r>
            <w:proofErr w:type="spellEnd"/>
          </w:p>
        </w:tc>
        <w:tc>
          <w:tcPr>
            <w:tcW w:w="4320" w:type="dxa"/>
            <w:shd w:val="clear" w:color="auto" w:fill="auto"/>
          </w:tcPr>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rPr>
                <w:rFonts w:ascii="Arial" w:eastAsia="Arial" w:hAnsi="Arial" w:cs="Arial"/>
                <w:color w:val="000000"/>
                <w:sz w:val="20"/>
                <w:szCs w:val="20"/>
                <w:lang w:val="lv-LV" w:eastAsia="ar-SA"/>
              </w:rPr>
            </w:pPr>
          </w:p>
          <w:p w:rsidR="00B132C7" w:rsidRPr="003B6C81" w:rsidRDefault="00B132C7" w:rsidP="00B62166">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Arial" w:hAnsi="Arial" w:cs="Arial"/>
                <w:color w:val="000000"/>
                <w:sz w:val="20"/>
                <w:szCs w:val="20"/>
                <w:lang w:val="lv-LV" w:eastAsia="ar-SA"/>
              </w:rPr>
            </w:pPr>
            <w:r w:rsidRPr="003B6C81">
              <w:rPr>
                <w:rFonts w:ascii="Arial" w:eastAsia="Arial" w:hAnsi="Arial" w:cs="Arial"/>
                <w:color w:val="000000"/>
                <w:sz w:val="20"/>
                <w:szCs w:val="20"/>
                <w:lang w:val="lv-LV" w:eastAsia="ar-SA"/>
              </w:rPr>
              <w:t>_____________________________</w:t>
            </w:r>
          </w:p>
          <w:p w:rsidR="00B132C7" w:rsidRPr="003B6C81" w:rsidRDefault="00B132C7" w:rsidP="00B132C7">
            <w:p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rPr>
                <w:rFonts w:ascii="Arial" w:eastAsia="Arial" w:hAnsi="Arial" w:cs="Arial"/>
                <w:b/>
                <w:bCs/>
                <w:color w:val="000000"/>
                <w:sz w:val="20"/>
                <w:szCs w:val="20"/>
                <w:lang w:val="lv-LV" w:eastAsia="ar-SA"/>
              </w:rPr>
            </w:pPr>
            <w:r w:rsidRPr="003B6C81">
              <w:rPr>
                <w:rFonts w:ascii="Arial" w:eastAsia="Arial" w:hAnsi="Arial" w:cs="Arial"/>
                <w:b/>
                <w:bCs/>
                <w:color w:val="000000"/>
                <w:sz w:val="20"/>
                <w:szCs w:val="20"/>
                <w:lang w:val="lv-LV" w:eastAsia="ar-SA"/>
              </w:rPr>
              <w:t xml:space="preserve">Jevgēnijs </w:t>
            </w:r>
            <w:proofErr w:type="spellStart"/>
            <w:r w:rsidRPr="003B6C81">
              <w:rPr>
                <w:rFonts w:ascii="Arial" w:eastAsia="Arial" w:hAnsi="Arial" w:cs="Arial"/>
                <w:b/>
                <w:bCs/>
                <w:color w:val="000000"/>
                <w:sz w:val="20"/>
                <w:szCs w:val="20"/>
                <w:lang w:val="lv-LV" w:eastAsia="ar-SA"/>
              </w:rPr>
              <w:t>Duškevičs</w:t>
            </w:r>
            <w:proofErr w:type="spellEnd"/>
          </w:p>
        </w:tc>
      </w:tr>
    </w:tbl>
    <w:p w:rsidR="002F7BDB" w:rsidRDefault="002F7BDB"/>
    <w:sectPr w:rsidR="002F7BDB" w:rsidSect="00B132C7">
      <w:pgSz w:w="12240" w:h="15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9"/>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4"/>
    <w:multiLevelType w:val="singleLevel"/>
    <w:tmpl w:val="00000004"/>
    <w:name w:val="WW8Num12"/>
    <w:lvl w:ilvl="0">
      <w:start w:val="8"/>
      <w:numFmt w:val="decimal"/>
      <w:lvlText w:val="%1."/>
      <w:lvlJc w:val="left"/>
      <w:pPr>
        <w:tabs>
          <w:tab w:val="num" w:pos="720"/>
        </w:tabs>
        <w:ind w:left="720" w:hanging="360"/>
      </w:pPr>
    </w:lvl>
  </w:abstractNum>
  <w:abstractNum w:abstractNumId="4">
    <w:nsid w:val="00000005"/>
    <w:multiLevelType w:val="multilevel"/>
    <w:tmpl w:val="00000005"/>
    <w:name w:val="WW8Num15"/>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17"/>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24"/>
    <w:lvl w:ilvl="0">
      <w:start w:val="12"/>
      <w:numFmt w:val="decimal"/>
      <w:lvlText w:val="%1."/>
      <w:lvlJc w:val="left"/>
      <w:pPr>
        <w:tabs>
          <w:tab w:val="num" w:pos="480"/>
        </w:tabs>
        <w:ind w:left="480" w:hanging="480"/>
      </w:pPr>
    </w:lvl>
    <w:lvl w:ilvl="1">
      <w:start w:val="1"/>
      <w:numFmt w:val="decimal"/>
      <w:lvlText w:val="9.%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2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8Num29"/>
    <w:lvl w:ilvl="0">
      <w:start w:val="15"/>
      <w:numFmt w:val="decimal"/>
      <w:lvlText w:val="%1."/>
      <w:lvlJc w:val="left"/>
      <w:pPr>
        <w:tabs>
          <w:tab w:val="num" w:pos="720"/>
        </w:tabs>
        <w:ind w:left="720" w:hanging="360"/>
      </w:pPr>
    </w:lvl>
    <w:lvl w:ilvl="1">
      <w:start w:val="1"/>
      <w:numFmt w:val="decimal"/>
      <w:lvlText w:val="12.%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0A"/>
    <w:multiLevelType w:val="multilevel"/>
    <w:tmpl w:val="0000000A"/>
    <w:name w:val="WW8Num3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C7"/>
    <w:rsid w:val="002F7BDB"/>
    <w:rsid w:val="006B3D8D"/>
    <w:rsid w:val="00B132C7"/>
    <w:rsid w:val="00DD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19AD-CC79-4EAA-94AC-3EA1D1A8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C7"/>
    <w:pPr>
      <w:widowControl w:val="0"/>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Jevgenijs Duskevics</cp:lastModifiedBy>
  <cp:revision>2</cp:revision>
  <dcterms:created xsi:type="dcterms:W3CDTF">2014-07-08T07:27:00Z</dcterms:created>
  <dcterms:modified xsi:type="dcterms:W3CDTF">2014-07-08T07:27:00Z</dcterms:modified>
</cp:coreProperties>
</file>